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3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 xml:space="preserve">Апелляция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это письменное заявление участника ЕГЭ либо о нарушении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установленного порядка проведения ЕГЭ, либо о несогласии с результатами ЕГЭ.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Каждый участник ЕГЭ должен быть ознакомлен с правилами подачи апелляции не позднее, чем за 2 недели до начала экзаменов: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720" w:hanging="360"/>
        <w:spacing w:after="0" w:line="338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выпускники этого года – в образовательном учреждении, которое они заканчивают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другие участники ЕГЭ – в месте регистрации на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Не принимаются апелляции: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по содержанию и структуре КИМ</w:t>
      </w:r>
    </w:p>
    <w:p>
      <w:pPr>
        <w:spacing w:after="0" w:line="129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ind w:left="720" w:hanging="360"/>
        <w:spacing w:after="0" w:line="366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в связи с нарушением самим участником ЕГЭ </w:t>
      </w: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правил поведения на ЕГЭ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 или </w:t>
      </w: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правил заполнения бланков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Процедура апелляции призвана защитить интересы участника ЕГЭ.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Для рассмотрения апелляций в каждом регионе создаются </w:t>
      </w: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конфликтные комиссии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both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both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Апелляции тех участников, которые сдают ЕГЭ за пределами территории Российской Федерации, рассматривает </w:t>
      </w: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Федеральная конфликтная комиссия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(ФЭК)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.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Правила подачи апелляции о нарушении установленного порядка проведения</w:t>
      </w:r>
    </w:p>
    <w:p>
      <w:pPr>
        <w:spacing w:after="0" w:line="134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ind w:left="720"/>
        <w:spacing w:after="0"/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ЕГЭ</w:t>
      </w: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spacing w:after="0" w:line="207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ind w:left="720"/>
        <w:spacing w:after="0" w:line="366" w:lineRule="auto"/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Апелляция о нарушении установленного порядка проведения ЕГЭ подается в день экзамена после сдачи бланков ЕГЭ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не выходя из ППЭ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-604520</wp:posOffset>
                </wp:positionV>
                <wp:extent cx="6224270" cy="103568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10356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4.55pt;margin-top:-47.5999pt;width:490.1pt;height:8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Действия участника ЕГЭ: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1440" w:hanging="360"/>
        <w:spacing w:after="0" w:line="336" w:lineRule="auto"/>
        <w:tabs>
          <w:tab w:leader="none" w:pos="1512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по окончании экзамена получить от организатора в аудитории форму (два экземпляра) для составления апелляции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-553085</wp:posOffset>
                </wp:positionV>
                <wp:extent cx="5995670" cy="85852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85852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2.55pt;margin-top:-43.5499pt;width:472.1pt;height:6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ind w:left="1520" w:hanging="440"/>
        <w:spacing w:after="0"/>
        <w:tabs>
          <w:tab w:leader="none" w:pos="152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составить апелляцию в 2 экземплярах</w:t>
      </w:r>
    </w:p>
    <w:p>
      <w:pPr>
        <w:sectPr>
          <w:pgSz w:w="11900" w:h="16840" w:orient="portrait"/>
          <w:cols w:equalWidth="0" w:num="1">
            <w:col w:w="10460"/>
          </w:cols>
          <w:pgMar w:left="720" w:top="686" w:right="720" w:bottom="631" w:gutter="0" w:footer="0" w:header="0"/>
        </w:sectPr>
      </w:pPr>
    </w:p>
    <w:p>
      <w:pPr>
        <w:ind w:left="1080" w:hanging="360"/>
        <w:spacing w:after="0" w:line="370" w:lineRule="auto"/>
        <w:tabs>
          <w:tab w:leader="none" w:pos="1152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передать оба экземпляра уполномоченному представителю ГЭК, который обязан принять и удостоверить их своей подписью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-610870</wp:posOffset>
                </wp:positionV>
                <wp:extent cx="5995670" cy="57277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57277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4.55pt;margin-top:-48.0999pt;width:472.1pt;height:45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6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Один экземпляр заявления остается у участника ЕГЭ, другой передается уполномоченным представителем ГЭК в региональную конфликтную комиссию.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-610870</wp:posOffset>
                </wp:positionV>
                <wp:extent cx="6224270" cy="28638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2863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6.55pt;margin-top:-48.0999pt;width:490.1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-324485</wp:posOffset>
                </wp:positionV>
                <wp:extent cx="6224270" cy="10356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10356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6.55pt;margin-top:-25.5499pt;width:490.1pt;height:8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6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Результаты рассмотрения апелляции можно узнать не позднее чем через 3 календарных дня после ее подачи:</w:t>
      </w:r>
    </w:p>
    <w:p>
      <w:pPr>
        <w:sectPr>
          <w:pgSz w:w="11900" w:h="16840" w:orient="portrait"/>
          <w:cols w:equalWidth="0" w:num="1">
            <w:col w:w="10100"/>
          </w:cols>
          <w:pgMar w:left="1080" w:top="692" w:right="720" w:bottom="545" w:gutter="0" w:footer="0" w:header="0"/>
        </w:sect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333333"/>
        </w:rPr>
        <w:t>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333333"/>
        </w:rPr>
        <w:t>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выпускникам текущего года – в образовательном учреждении, которые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-185420</wp:posOffset>
                </wp:positionV>
                <wp:extent cx="5995035" cy="114554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14554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9.3999pt;margin-top:-14.5999pt;width:472.05pt;height:9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они заканчивают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40" w:val="left"/>
          <w:tab w:leader="none" w:pos="2820" w:val="left"/>
          <w:tab w:leader="none" w:pos="3640" w:val="left"/>
          <w:tab w:leader="none" w:pos="4080" w:val="left"/>
          <w:tab w:leader="none" w:pos="4500" w:val="left"/>
          <w:tab w:leader="none" w:pos="5600" w:val="left"/>
          <w:tab w:leader="none" w:pos="6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другим</w:t>
        <w:tab/>
        <w:t>участникам</w:t>
        <w:tab/>
        <w:t>ЕГЭ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ab/>
        <w:t>органе</w:t>
        <w:tab/>
        <w:t>местного</w:t>
        <w:tab/>
        <w:t>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,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осуществляющем полномочия в сфере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840" w:space="240"/>
            <w:col w:w="9020"/>
          </w:cols>
          <w:pgMar w:left="1080" w:top="692" w:right="720" w:bottom="545" w:gutter="0" w:footer="0" w:header="0"/>
          <w:type w:val="continuous"/>
        </w:sect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Результаты рассмотрения апелляции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-187960</wp:posOffset>
                </wp:positionV>
                <wp:extent cx="6224270" cy="28892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28892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6.55pt;margin-top:-14.7999pt;width:490.1pt;height:2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отклонение апелляции, в случае если конфликтная комиссия признала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-185420</wp:posOffset>
                </wp:positionV>
                <wp:extent cx="5995670" cy="14319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143192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4.55pt;margin-top:-14.5999pt;width:472.1pt;height:11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1080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факты, изложенные участником, несущественными или не имеющими место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80" w:hanging="360"/>
        <w:spacing w:after="0" w:line="370" w:lineRule="auto"/>
        <w:tabs>
          <w:tab w:leader="none" w:pos="1080" w:val="left"/>
        </w:tabs>
        <w:numPr>
          <w:ilvl w:val="1"/>
          <w:numId w:val="8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удовлетворение апелляции, если факты, изложенные участником, могли оказать существенное влияние на результаты ЕГЭ</w:t>
      </w:r>
    </w:p>
    <w:p>
      <w:pPr>
        <w:spacing w:after="0" w:line="200" w:lineRule="exact"/>
        <w:rPr>
          <w:rFonts w:ascii="Courier New" w:cs="Courier New" w:eastAsia="Courier New" w:hAnsi="Courier New"/>
          <w:sz w:val="20"/>
          <w:szCs w:val="20"/>
          <w:color w:val="333333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0"/>
          <w:szCs w:val="20"/>
          <w:color w:val="333333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0"/>
          <w:szCs w:val="20"/>
          <w:color w:val="333333"/>
        </w:rPr>
      </w:pPr>
    </w:p>
    <w:p>
      <w:pPr>
        <w:spacing w:after="0" w:line="322" w:lineRule="exact"/>
        <w:rPr>
          <w:rFonts w:ascii="Courier New" w:cs="Courier New" w:eastAsia="Courier New" w:hAnsi="Courier New"/>
          <w:sz w:val="20"/>
          <w:szCs w:val="20"/>
          <w:color w:val="333333"/>
        </w:rPr>
      </w:pPr>
    </w:p>
    <w:p>
      <w:pPr>
        <w:jc w:val="both"/>
        <w:ind w:left="360"/>
        <w:spacing w:after="0" w:line="336" w:lineRule="auto"/>
        <w:tabs>
          <w:tab w:leader="none" w:pos="65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случае удовлетворения апелляции результат ЕГЭ аннулируется и участнику предоставляется возможность сдать ЕГЭ по данному предмету в другой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-1016635</wp:posOffset>
                </wp:positionV>
                <wp:extent cx="6224270" cy="16090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160909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.55pt;margin-top:-80.0499pt;width:490.1pt;height:126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ind w:left="36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(резервный) день. Участнику ЕГЭ назначается дата и место повторной сдачи ЕГЭ по соответствующему предмету.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0C66A9"/>
        </w:rPr>
        <w:t>Правила подачи апелляции о несогласии с результатами ЕГЭ</w:t>
      </w: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spacing w:after="0" w:line="202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ind w:left="360"/>
        <w:spacing w:after="0" w:line="370" w:lineRule="auto"/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Подавать апелляцию следует, если Вы действительно уверены, что при оценке экзаменационной работы произошла ошибка (техническая или экспертная).</w:t>
      </w:r>
    </w:p>
    <w:p>
      <w:pPr>
        <w:spacing w:after="0" w:line="188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jc w:val="both"/>
        <w:ind w:left="360"/>
        <w:spacing w:after="0" w:line="353" w:lineRule="auto"/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Апелляция о несогласии с результатами ЕГЭ подается в течение 2 рабочих дней после официального объявления индивидуальных результатов экзамена и ознакомления с ними участника ЕГЭ.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-1632585</wp:posOffset>
                </wp:positionV>
                <wp:extent cx="6224270" cy="2863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2863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6.55pt;margin-top:-128.5499pt;width:490.1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-1346200</wp:posOffset>
                </wp:positionV>
                <wp:extent cx="6224270" cy="132270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132270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6.55pt;margin-top:-106pt;width:490.1pt;height:10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100"/>
          </w:cols>
          <w:pgMar w:left="1080" w:top="692" w:right="720" w:bottom="545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Действия участника ЕГЭ: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-187960</wp:posOffset>
                </wp:positionV>
                <wp:extent cx="6223635" cy="2863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863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1.3999pt;margin-top:-14.7999pt;width:490.05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both"/>
        <w:ind w:left="720" w:hanging="360"/>
        <w:spacing w:after="0" w:line="336" w:lineRule="auto"/>
        <w:tabs>
          <w:tab w:leader="none" w:pos="792" w:val="left"/>
        </w:tabs>
        <w:numPr>
          <w:ilvl w:val="0"/>
          <w:numId w:val="10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получить у ответственного секретаря конфликтной комиссии (для выпускников текущего года - у руководителя своего образовательного учреждения) форму для составления апелляции в 2 экземплярах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-839470</wp:posOffset>
                </wp:positionV>
                <wp:extent cx="5995670" cy="42938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429387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6.55pt;margin-top:-66.0999pt;width:472.1pt;height:338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(возможно составление апелляции в произвольной форме)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800" w:hanging="440"/>
        <w:spacing w:after="0"/>
        <w:tabs>
          <w:tab w:leader="none" w:pos="800" w:val="left"/>
        </w:tabs>
        <w:numPr>
          <w:ilvl w:val="0"/>
          <w:numId w:val="11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составить апелляцию в 2 экземплярах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720" w:hanging="360"/>
        <w:spacing w:after="0" w:line="336" w:lineRule="auto"/>
        <w:tabs>
          <w:tab w:leader="none" w:pos="792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передать оба экземпляра вышеуказанным лицам, которые обязаны принять и удостоверить их своей подписью, один экземпляр отдать участнику ЕГЭ, другой передать в конфликтную комиссию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hanging="440"/>
        <w:spacing w:after="0"/>
        <w:tabs>
          <w:tab w:leader="none" w:pos="800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получить информацию о времени и месте рассмотрения апелляции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800" w:hanging="440"/>
        <w:spacing w:after="0"/>
        <w:tabs>
          <w:tab w:leader="none" w:pos="800" w:val="left"/>
        </w:tabs>
        <w:numPr>
          <w:ilvl w:val="0"/>
          <w:numId w:val="14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прийти (если есть возможность) на процедуру рассмотрения апелляции в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720"/>
        <w:spacing w:after="0" w:line="3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конфликтную комиссию, имея при себе паспорт и пропуск на ЕГЭ, на котором должна стоять печать «Бланки ЕГЭ сданы» (или штампом ППЭ)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20" w:hanging="360"/>
        <w:spacing w:after="0" w:line="353" w:lineRule="auto"/>
        <w:tabs>
          <w:tab w:leader="none" w:pos="792" w:val="left"/>
        </w:tabs>
        <w:numPr>
          <w:ilvl w:val="0"/>
          <w:numId w:val="15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участвовать в рассмотрении апелляции, подтвердив в протоколе, что во время апелляции сдававшему ЕГЭ были предъявлены его копии бланков ответов и правильность распознавания ответов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паспорта. Законные представители (опекуны, усыновители, по-печители, а также лица, осуществляющие патронаж совершеннолетнего дееспо-собного лица, который по состоянию здоровья не может осуществлять свои пра-ва) должны иметь при себе также другие документы, подтверждающие их полномочия.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-2019935</wp:posOffset>
                </wp:positionV>
                <wp:extent cx="6223635" cy="17189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171894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3999pt;margin-top:-159.0499pt;width:490.05pt;height:135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-300990</wp:posOffset>
                </wp:positionV>
                <wp:extent cx="6223635" cy="103568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10356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.3999pt;margin-top:-23.6999pt;width:490.05pt;height:8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both"/>
        <w:spacing w:after="0" w:line="353" w:lineRule="auto"/>
        <w:tabs>
          <w:tab w:leader="none" w:pos="26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случае, если участник ЕГЭ или его родитель (законный представитель) по тем или иным не явился на апелляцию, ее рассмотрение проходит без их участия и подтверждается членами конфликтной комиссии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-309880</wp:posOffset>
                </wp:positionV>
                <wp:extent cx="6223635" cy="7493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749300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1.3999pt;margin-top:-24.3999pt;width:490.05pt;height:5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Результаты рассмотрения апелляции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720" w:hanging="360"/>
        <w:spacing w:after="0" w:line="337" w:lineRule="auto"/>
        <w:tabs>
          <w:tab w:leader="none" w:pos="792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отклонение апелляции из-за отсутствия технических ошибок при обработке бланков ЕГЭ и ошибок в оценивании экспертами ответов на задания в свободной форме и сохранение выставленных баллов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-842010</wp:posOffset>
                </wp:positionV>
                <wp:extent cx="5995670" cy="28638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28638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6.55pt;margin-top:-66.2999pt;width:472.1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-555625</wp:posOffset>
                </wp:positionV>
                <wp:extent cx="5995670" cy="8591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859155"/>
                        </a:xfrm>
                        <a:prstGeom prst="rect">
                          <a:avLst/>
                        </a:prstGeom>
                        <a:solidFill>
                          <a:srgbClr val="F1F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6.55pt;margin-top:-43.7499pt;width:472.1pt;height:6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1F2F3" stroked="f"/>
            </w:pict>
          </mc:Fallback>
        </mc:AlternateContent>
      </w:r>
    </w:p>
    <w:p>
      <w:pPr>
        <w:ind w:left="800" w:hanging="440"/>
        <w:spacing w:after="0"/>
        <w:tabs>
          <w:tab w:leader="none" w:pos="800" w:val="left"/>
        </w:tabs>
        <w:numPr>
          <w:ilvl w:val="0"/>
          <w:numId w:val="18"/>
        </w:numPr>
        <w:rPr>
          <w:rFonts w:ascii="Courier New" w:cs="Courier New" w:eastAsia="Courier New" w:hAnsi="Courier New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удовлетворение апелляции и выставлении других баллов (отметок)</w:t>
      </w:r>
    </w:p>
    <w:p>
      <w:pPr>
        <w:sectPr>
          <w:pgSz w:w="11900" w:h="16840" w:orient="portrait"/>
          <w:cols w:equalWidth="0" w:num="1">
            <w:col w:w="9740"/>
          </w:cols>
          <w:pgMar w:left="1440" w:top="696" w:right="720" w:bottom="333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ВНИМАНИЕ!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both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Экзаменационная работа перепроверяется полностью, а не отдельная ее часть. Черновики, использованные на экзамене, в качестве материалов апелляции не рассматриваются.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За сам факт подачи апелляции количество баллов не может быть уменьшено.</w:t>
      </w:r>
    </w:p>
    <w:sectPr>
      <w:pgSz w:w="11900" w:h="16840" w:orient="portrait"/>
      <w:cols w:equalWidth="0" w:num="1">
        <w:col w:w="10460"/>
      </w:cols>
      <w:pgMar w:left="720" w:top="696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2DB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153C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7E87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390C"/>
    <w:multiLevelType w:val="hybridMultilevel"/>
    <w:lvl w:ilvl="0">
      <w:lvlJc w:val="left"/>
      <w:lvlText w:val="%1"/>
      <w:numFmt w:val="lowerLetter"/>
      <w:start w:val="15"/>
    </w:lvl>
  </w:abstractNum>
  <w:abstractNum w:abstractNumId="4">
    <w:nsid w:val="F3E"/>
    <w:multiLevelType w:val="hybridMultilevel"/>
    <w:lvl w:ilvl="0">
      <w:lvlJc w:val="left"/>
      <w:lvlText w:val="%1"/>
      <w:numFmt w:val="lowerLetter"/>
      <w:start w:val="15"/>
    </w:lvl>
  </w:abstractNum>
  <w:abstractNum w:abstractNumId="5">
    <w:nsid w:val="99"/>
    <w:multiLevelType w:val="hybridMultilevel"/>
    <w:lvl w:ilvl="0">
      <w:lvlJc w:val="left"/>
      <w:lvlText w:val="%1"/>
      <w:numFmt w:val="lowerLetter"/>
      <w:start w:val="15"/>
    </w:lvl>
  </w:abstractNum>
  <w:abstractNum w:abstractNumId="6">
    <w:nsid w:val="124"/>
    <w:multiLevelType w:val="hybridMultilevel"/>
    <w:lvl w:ilvl="0">
      <w:lvlJc w:val="left"/>
      <w:lvlText w:val="%1"/>
      <w:numFmt w:val="lowerLetter"/>
      <w:start w:val="15"/>
    </w:lvl>
  </w:abstractNum>
  <w:abstractNum w:abstractNumId="7">
    <w:nsid w:val="305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"/>
      <w:numFmt w:val="lowerLetter"/>
      <w:start w:val="15"/>
    </w:lvl>
  </w:abstractNum>
  <w:abstractNum w:abstractNumId="8">
    <w:nsid w:val="440D"/>
    <w:multiLevelType w:val="hybridMultilevel"/>
    <w:lvl w:ilvl="0">
      <w:lvlJc w:val="left"/>
      <w:lvlText w:val=""/>
      <w:numFmt w:val="bullet"/>
      <w:start w:val="1"/>
    </w:lvl>
  </w:abstractNum>
  <w:abstractNum w:abstractNumId="9">
    <w:nsid w:val="491C"/>
    <w:multiLevelType w:val="hybridMultilevel"/>
    <w:lvl w:ilvl="0">
      <w:lvlJc w:val="left"/>
      <w:lvlText w:val="%1"/>
      <w:numFmt w:val="lowerLetter"/>
      <w:start w:val="15"/>
    </w:lvl>
  </w:abstractNum>
  <w:abstractNum w:abstractNumId="10">
    <w:nsid w:val="4D06"/>
    <w:multiLevelType w:val="hybridMultilevel"/>
    <w:lvl w:ilvl="0">
      <w:lvlJc w:val="left"/>
      <w:lvlText w:val="%1"/>
      <w:numFmt w:val="lowerLetter"/>
      <w:start w:val="15"/>
    </w:lvl>
  </w:abstractNum>
  <w:abstractNum w:abstractNumId="11">
    <w:nsid w:val="4DB7"/>
    <w:multiLevelType w:val="hybridMultilevel"/>
    <w:lvl w:ilvl="0">
      <w:lvlJc w:val="left"/>
      <w:lvlText w:val="%1"/>
      <w:numFmt w:val="lowerLetter"/>
      <w:start w:val="15"/>
    </w:lvl>
  </w:abstractNum>
  <w:abstractNum w:abstractNumId="12">
    <w:nsid w:val="1547"/>
    <w:multiLevelType w:val="hybridMultilevel"/>
    <w:lvl w:ilvl="0">
      <w:lvlJc w:val="left"/>
      <w:lvlText w:val="%1"/>
      <w:numFmt w:val="lowerLetter"/>
      <w:start w:val="15"/>
    </w:lvl>
  </w:abstractNum>
  <w:abstractNum w:abstractNumId="13">
    <w:nsid w:val="54DE"/>
    <w:multiLevelType w:val="hybridMultilevel"/>
    <w:lvl w:ilvl="0">
      <w:lvlJc w:val="left"/>
      <w:lvlText w:val="%1"/>
      <w:numFmt w:val="lowerLetter"/>
      <w:start w:val="15"/>
    </w:lvl>
  </w:abstractNum>
  <w:abstractNum w:abstractNumId="14">
    <w:nsid w:val="39B3"/>
    <w:multiLevelType w:val="hybridMultilevel"/>
    <w:lvl w:ilvl="0">
      <w:lvlJc w:val="left"/>
      <w:lvlText w:val="%1"/>
      <w:numFmt w:val="lowerLetter"/>
      <w:start w:val="15"/>
    </w:lvl>
  </w:abstractNum>
  <w:abstractNum w:abstractNumId="15">
    <w:nsid w:val="2D12"/>
    <w:multiLevelType w:val="hybridMultilevel"/>
    <w:lvl w:ilvl="0">
      <w:lvlJc w:val="left"/>
      <w:lvlText w:val="В"/>
      <w:numFmt w:val="bullet"/>
      <w:start w:val="1"/>
    </w:lvl>
  </w:abstractNum>
  <w:abstractNum w:abstractNumId="16">
    <w:nsid w:val="74D"/>
    <w:multiLevelType w:val="hybridMultilevel"/>
    <w:lvl w:ilvl="0">
      <w:lvlJc w:val="left"/>
      <w:lvlText w:val="%1"/>
      <w:numFmt w:val="lowerLetter"/>
      <w:start w:val="15"/>
    </w:lvl>
  </w:abstractNum>
  <w:abstractNum w:abstractNumId="17">
    <w:nsid w:val="4DC8"/>
    <w:multiLevelType w:val="hybridMultilevel"/>
    <w:lvl w:ilvl="0">
      <w:lvlJc w:val="left"/>
      <w:lvlText w:val="%1"/>
      <w:numFmt w:val="lowerLetter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2020-02-01T10:48:34Z</dcterms:created>
  <dcterms:modified xsi:type="dcterms:W3CDTF">2020-02-01T10:48:34Z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